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p>
    <w:p>
      <w:pPr>
        <w:rPr>
          <w:rFonts w:hint="eastAsia" w:ascii="黑体" w:hAnsi="黑体" w:eastAsia="黑体" w:cs="黑体"/>
          <w:color w:val="333333"/>
          <w:sz w:val="32"/>
          <w:szCs w:val="32"/>
          <w:shd w:val="clear" w:color="auto" w:fill="FFFFFF"/>
        </w:rPr>
      </w:pPr>
    </w:p>
    <w:p>
      <w:pPr>
        <w:spacing w:line="360" w:lineRule="auto"/>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沈阳工学院教学软件采购项目</w:t>
      </w:r>
    </w:p>
    <w:p>
      <w:pPr>
        <w:spacing w:line="360" w:lineRule="auto"/>
        <w:jc w:val="center"/>
        <w:rPr>
          <w:rFonts w:hint="eastAsia" w:ascii="宋体" w:hAnsi="宋体" w:eastAsia="宋体" w:cs="宋体"/>
          <w:b/>
          <w:bCs/>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一、金融科技专业软件需求</w:t>
      </w:r>
    </w:p>
    <w:p>
      <w:pPr>
        <w:spacing w:line="360" w:lineRule="auto"/>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1.需要区块链概念、区块链分类、区块链发展历程和趋势、区块链在技术维度和应用维度的发展前景等区块链技术基础教学资源，建立学生对区块链的宏观认知。</w:t>
      </w:r>
    </w:p>
    <w:p>
      <w:pPr>
        <w:spacing w:line="360" w:lineRule="auto"/>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bookmarkStart w:id="0" w:name="_GoBack"/>
      <w:bookmarkEnd w:id="0"/>
      <w:r>
        <w:rPr>
          <w:rFonts w:hint="default" w:ascii="Times New Roman" w:hAnsi="Times New Roman" w:eastAsia="仿宋" w:cs="Times New Roman"/>
          <w:sz w:val="32"/>
          <w:szCs w:val="32"/>
        </w:rPr>
        <w:t>需要P2P网络和分布式存储、密码学知识、区块与区块链、共识机制、智能合约、区块链浏览器及区块链钱包等区块链应用教学资源，使学生掌握区块链的实际应用情况。</w:t>
      </w:r>
    </w:p>
    <w:p>
      <w:pPr>
        <w:spacing w:line="360" w:lineRule="auto"/>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3.需要区块链技术在银行业、保险业、证券业等金融行业的具体业务应用教学资源，以及学生业务实操模块。</w:t>
      </w:r>
    </w:p>
    <w:p>
      <w:pPr>
        <w:spacing w:line="360" w:lineRule="auto"/>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4.需要从基础层、技术层、应用层覆盖学科知识，辅助教师由浅入深展开教学。</w:t>
      </w:r>
    </w:p>
    <w:p>
      <w:pPr>
        <w:spacing w:beforeLines="50" w:afterLines="50" w:line="360" w:lineRule="auto"/>
        <w:jc w:val="center"/>
        <w:rPr>
          <w:rFonts w:hint="eastAsia" w:ascii="黑体" w:hAnsi="黑体" w:eastAsia="黑体" w:cs="黑体"/>
          <w:sz w:val="32"/>
          <w:szCs w:val="32"/>
        </w:rPr>
      </w:pPr>
      <w:r>
        <w:rPr>
          <w:rFonts w:hint="eastAsia" w:ascii="黑体" w:hAnsi="黑体" w:eastAsia="黑体" w:cs="黑体"/>
          <w:sz w:val="32"/>
          <w:szCs w:val="32"/>
        </w:rPr>
        <w:t>二、人力资源管理专业设备采购需求及招标信息</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需要工作分析、招聘管理、人才测评、薪酬管理、绩效管理等核心业务模块的实践操作场景，助力人力资源管理核心技能的学习和提升，强化知识的运用。</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需要人力资源管理事务性工作的实践操作训练，如合同管理、薪税服务、数据报表服务等典型工作模块，弥补课程教学中单纯靠知识讲授不能实现的事务性能力培养。</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需要人力资源管理前沿的HR三支柱、HR数字化、HR新技术应用，HRSSC、共享服务全景、HR服务外包等内容的直观体验，帮助学生全面认知行业新变化。</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需要模块多元化，一台多用的平台或设备，既能支撑专业综合技能实训的教学，又能为核心课程的课内实验实践所用。</w:t>
      </w:r>
    </w:p>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YTUzZDM3ZDA3N2NiNDI1NTg1MjYzYTZlYjM2NGUifQ=="/>
  </w:docVars>
  <w:rsids>
    <w:rsidRoot w:val="06AB1677"/>
    <w:rsid w:val="06AB1677"/>
    <w:rsid w:val="3C817426"/>
    <w:rsid w:val="796E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Words>
  <Characters>557</Characters>
  <Lines>0</Lines>
  <Paragraphs>0</Paragraphs>
  <TotalTime>0</TotalTime>
  <ScaleCrop>false</ScaleCrop>
  <LinksUpToDate>false</LinksUpToDate>
  <CharactersWithSpaces>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2023-07-14T00:45:00Z</dcterms:created>
  <dc:creator>西小贝</dc:creator>
  <cp:lastModifiedBy>西小贝</cp:lastModifiedBy>
  <dcterms:modified xsi:type="dcterms:W3CDTF">2023-07-14T00:49:55Z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92DF24305C9C472795EA1F061517AF86_11</vt:lpwstr>
  </property>
</Properties>
</file>